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8255F" w14:textId="77777777" w:rsidR="008B4CA6" w:rsidRDefault="008B4CA6" w:rsidP="0000531D">
      <w:pPr>
        <w:autoSpaceDE w:val="0"/>
        <w:autoSpaceDN w:val="0"/>
        <w:adjustRightInd w:val="0"/>
        <w:jc w:val="both"/>
        <w:rPr>
          <w:sz w:val="30"/>
          <w:szCs w:val="30"/>
        </w:rPr>
      </w:pPr>
    </w:p>
    <w:tbl>
      <w:tblPr>
        <w:tblW w:w="98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3408"/>
        <w:gridCol w:w="5761"/>
      </w:tblGrid>
      <w:tr w:rsidR="009E018E" w:rsidRPr="00FC0436" w14:paraId="1E60CF26" w14:textId="77777777" w:rsidTr="00174568">
        <w:tc>
          <w:tcPr>
            <w:tcW w:w="704" w:type="dxa"/>
          </w:tcPr>
          <w:p w14:paraId="6CDA959B" w14:textId="77777777" w:rsidR="009E018E" w:rsidRPr="001B39EB" w:rsidRDefault="009E018E" w:rsidP="00174568">
            <w:pPr>
              <w:jc w:val="both"/>
              <w:rPr>
                <w:sz w:val="28"/>
                <w:szCs w:val="28"/>
              </w:rPr>
            </w:pPr>
            <w:r>
              <w:rPr>
                <w:sz w:val="28"/>
                <w:szCs w:val="28"/>
              </w:rPr>
              <w:t>1</w:t>
            </w:r>
          </w:p>
        </w:tc>
        <w:tc>
          <w:tcPr>
            <w:tcW w:w="3408" w:type="dxa"/>
          </w:tcPr>
          <w:p w14:paraId="18AA3F0A" w14:textId="77777777" w:rsidR="009E018E" w:rsidRPr="001B39EB" w:rsidRDefault="009E018E" w:rsidP="00174568">
            <w:pPr>
              <w:jc w:val="both"/>
              <w:rPr>
                <w:sz w:val="28"/>
                <w:szCs w:val="28"/>
              </w:rPr>
            </w:pPr>
            <w:r>
              <w:rPr>
                <w:sz w:val="28"/>
                <w:szCs w:val="28"/>
              </w:rPr>
              <w:t>Name of Project</w:t>
            </w:r>
          </w:p>
        </w:tc>
        <w:tc>
          <w:tcPr>
            <w:tcW w:w="5761" w:type="dxa"/>
          </w:tcPr>
          <w:p w14:paraId="5641337B" w14:textId="77777777" w:rsidR="009E018E" w:rsidRPr="009E018E" w:rsidRDefault="009E018E" w:rsidP="00174568">
            <w:pPr>
              <w:jc w:val="both"/>
              <w:rPr>
                <w:sz w:val="28"/>
                <w:szCs w:val="28"/>
                <w:lang w:val="en-US"/>
              </w:rPr>
            </w:pPr>
            <w:r w:rsidRPr="009E018E">
              <w:rPr>
                <w:sz w:val="28"/>
                <w:szCs w:val="28"/>
                <w:lang w:val="en-US"/>
              </w:rPr>
              <w:t>Introduction of the odour neutralisation system</w:t>
            </w:r>
          </w:p>
        </w:tc>
      </w:tr>
      <w:tr w:rsidR="009E018E" w:rsidRPr="001B39EB" w14:paraId="03788742" w14:textId="77777777" w:rsidTr="00174568">
        <w:tc>
          <w:tcPr>
            <w:tcW w:w="704" w:type="dxa"/>
          </w:tcPr>
          <w:p w14:paraId="02F7BA01" w14:textId="77777777" w:rsidR="009E018E" w:rsidRPr="001B39EB" w:rsidRDefault="009E018E" w:rsidP="00174568">
            <w:pPr>
              <w:jc w:val="both"/>
              <w:rPr>
                <w:sz w:val="28"/>
                <w:szCs w:val="28"/>
              </w:rPr>
            </w:pPr>
            <w:r>
              <w:rPr>
                <w:sz w:val="28"/>
                <w:szCs w:val="28"/>
              </w:rPr>
              <w:t>2</w:t>
            </w:r>
          </w:p>
        </w:tc>
        <w:tc>
          <w:tcPr>
            <w:tcW w:w="3408" w:type="dxa"/>
          </w:tcPr>
          <w:p w14:paraId="74A759A1" w14:textId="77777777" w:rsidR="009E018E" w:rsidRPr="009E018E" w:rsidRDefault="009E018E" w:rsidP="00174568">
            <w:pPr>
              <w:jc w:val="both"/>
              <w:rPr>
                <w:sz w:val="28"/>
                <w:szCs w:val="28"/>
                <w:lang w:val="en-US"/>
              </w:rPr>
            </w:pPr>
            <w:r w:rsidRPr="009E018E">
              <w:rPr>
                <w:sz w:val="28"/>
                <w:szCs w:val="28"/>
                <w:lang w:val="en-US"/>
              </w:rPr>
              <w:t>Term of implementation of the project</w:t>
            </w:r>
          </w:p>
        </w:tc>
        <w:tc>
          <w:tcPr>
            <w:tcW w:w="5761" w:type="dxa"/>
          </w:tcPr>
          <w:p w14:paraId="53266834" w14:textId="0B118638" w:rsidR="009E018E" w:rsidRPr="00FF5EEF" w:rsidRDefault="00FF5EEF" w:rsidP="00174568">
            <w:pPr>
              <w:jc w:val="both"/>
              <w:rPr>
                <w:sz w:val="28"/>
                <w:szCs w:val="28"/>
                <w:lang w:val="en-US"/>
              </w:rPr>
            </w:pPr>
            <w:r>
              <w:rPr>
                <w:sz w:val="28"/>
                <w:szCs w:val="28"/>
              </w:rPr>
              <w:t>2024-2025</w:t>
            </w:r>
            <w:r w:rsidR="009E018E">
              <w:rPr>
                <w:sz w:val="28"/>
                <w:szCs w:val="28"/>
              </w:rPr>
              <w:t xml:space="preserve"> year</w:t>
            </w:r>
            <w:r>
              <w:rPr>
                <w:sz w:val="28"/>
                <w:szCs w:val="28"/>
                <w:lang w:val="en-US"/>
              </w:rPr>
              <w:t>s</w:t>
            </w:r>
          </w:p>
        </w:tc>
      </w:tr>
      <w:tr w:rsidR="009E018E" w:rsidRPr="001B39EB" w14:paraId="03347716" w14:textId="77777777" w:rsidTr="00174568">
        <w:tc>
          <w:tcPr>
            <w:tcW w:w="704" w:type="dxa"/>
          </w:tcPr>
          <w:p w14:paraId="41E9A5D3" w14:textId="77777777" w:rsidR="009E018E" w:rsidRPr="001B39EB" w:rsidRDefault="009E018E" w:rsidP="00174568">
            <w:pPr>
              <w:jc w:val="both"/>
              <w:rPr>
                <w:sz w:val="28"/>
                <w:szCs w:val="28"/>
              </w:rPr>
            </w:pPr>
            <w:r>
              <w:rPr>
                <w:sz w:val="28"/>
                <w:szCs w:val="28"/>
              </w:rPr>
              <w:t>3</w:t>
            </w:r>
          </w:p>
        </w:tc>
        <w:tc>
          <w:tcPr>
            <w:tcW w:w="3408" w:type="dxa"/>
          </w:tcPr>
          <w:p w14:paraId="3B8B67FE" w14:textId="77777777" w:rsidR="009E018E" w:rsidRPr="009E018E" w:rsidRDefault="009E018E" w:rsidP="00174568">
            <w:pPr>
              <w:jc w:val="both"/>
              <w:rPr>
                <w:sz w:val="28"/>
                <w:szCs w:val="28"/>
                <w:lang w:val="en-US"/>
              </w:rPr>
            </w:pPr>
            <w:r w:rsidRPr="009E018E">
              <w:rPr>
                <w:sz w:val="28"/>
                <w:szCs w:val="28"/>
                <w:lang w:val="en-US"/>
              </w:rPr>
              <w:t>Applicant organisation proposing the project</w:t>
            </w:r>
          </w:p>
        </w:tc>
        <w:tc>
          <w:tcPr>
            <w:tcW w:w="5761" w:type="dxa"/>
          </w:tcPr>
          <w:p w14:paraId="6E215B08" w14:textId="77777777" w:rsidR="009E018E" w:rsidRPr="001B39EB" w:rsidRDefault="009E018E" w:rsidP="00174568">
            <w:pPr>
              <w:rPr>
                <w:sz w:val="28"/>
                <w:szCs w:val="28"/>
              </w:rPr>
            </w:pPr>
            <w:r>
              <w:rPr>
                <w:sz w:val="28"/>
                <w:szCs w:val="28"/>
              </w:rPr>
              <w:t>MINSKVODOKANAL UE</w:t>
            </w:r>
          </w:p>
          <w:p w14:paraId="10AE20FE" w14:textId="77777777" w:rsidR="009E018E" w:rsidRPr="001B39EB" w:rsidRDefault="009E018E" w:rsidP="00174568">
            <w:pPr>
              <w:jc w:val="both"/>
              <w:rPr>
                <w:sz w:val="28"/>
                <w:szCs w:val="28"/>
              </w:rPr>
            </w:pPr>
          </w:p>
        </w:tc>
      </w:tr>
      <w:tr w:rsidR="009E018E" w:rsidRPr="00FC0436" w14:paraId="101DB80E" w14:textId="77777777" w:rsidTr="00174568">
        <w:tc>
          <w:tcPr>
            <w:tcW w:w="704" w:type="dxa"/>
          </w:tcPr>
          <w:p w14:paraId="0EC92D0F" w14:textId="77777777" w:rsidR="009E018E" w:rsidRPr="001B39EB" w:rsidRDefault="009E018E" w:rsidP="00174568">
            <w:pPr>
              <w:jc w:val="both"/>
              <w:rPr>
                <w:sz w:val="28"/>
                <w:szCs w:val="28"/>
              </w:rPr>
            </w:pPr>
            <w:r>
              <w:rPr>
                <w:sz w:val="28"/>
                <w:szCs w:val="28"/>
              </w:rPr>
              <w:t>4</w:t>
            </w:r>
          </w:p>
        </w:tc>
        <w:tc>
          <w:tcPr>
            <w:tcW w:w="3408" w:type="dxa"/>
          </w:tcPr>
          <w:p w14:paraId="56D2566B" w14:textId="77777777" w:rsidR="009E018E" w:rsidRPr="001B39EB" w:rsidRDefault="009E018E" w:rsidP="00174568">
            <w:pPr>
              <w:jc w:val="both"/>
              <w:rPr>
                <w:sz w:val="28"/>
                <w:szCs w:val="28"/>
              </w:rPr>
            </w:pPr>
            <w:r>
              <w:rPr>
                <w:sz w:val="28"/>
                <w:szCs w:val="28"/>
              </w:rPr>
              <w:t>Objectives of the Project</w:t>
            </w:r>
          </w:p>
        </w:tc>
        <w:tc>
          <w:tcPr>
            <w:tcW w:w="5761" w:type="dxa"/>
          </w:tcPr>
          <w:p w14:paraId="5E4A19AA" w14:textId="77777777" w:rsidR="009E018E" w:rsidRPr="009E018E" w:rsidRDefault="009E018E" w:rsidP="00174568">
            <w:pPr>
              <w:jc w:val="both"/>
              <w:rPr>
                <w:sz w:val="28"/>
                <w:szCs w:val="28"/>
                <w:lang w:val="en-US"/>
              </w:rPr>
            </w:pPr>
            <w:r w:rsidRPr="009E018E">
              <w:rPr>
                <w:sz w:val="28"/>
                <w:szCs w:val="28"/>
                <w:lang w:val="en-US"/>
              </w:rPr>
              <w:t>1. Neutralisation of odours from the sewage collector ventilation shafts</w:t>
            </w:r>
          </w:p>
          <w:p w14:paraId="5BC783F2" w14:textId="77777777" w:rsidR="009E018E" w:rsidRPr="009E018E" w:rsidRDefault="009E018E" w:rsidP="00174568">
            <w:pPr>
              <w:jc w:val="both"/>
              <w:rPr>
                <w:sz w:val="28"/>
                <w:szCs w:val="28"/>
                <w:lang w:val="en-US"/>
              </w:rPr>
            </w:pPr>
            <w:r w:rsidRPr="009E018E">
              <w:rPr>
                <w:sz w:val="28"/>
                <w:szCs w:val="28"/>
                <w:lang w:val="en-US"/>
              </w:rPr>
              <w:t>2. Development and implementation of the project solution for neutralising unpleasant odours from the sewage collector ventilation shafts</w:t>
            </w:r>
          </w:p>
        </w:tc>
      </w:tr>
      <w:tr w:rsidR="009E018E" w:rsidRPr="00FC0436" w14:paraId="675B932D" w14:textId="77777777" w:rsidTr="00174568">
        <w:tc>
          <w:tcPr>
            <w:tcW w:w="704" w:type="dxa"/>
          </w:tcPr>
          <w:p w14:paraId="5F2A9C18" w14:textId="77777777" w:rsidR="009E018E" w:rsidRPr="001B39EB" w:rsidRDefault="009E018E" w:rsidP="00174568">
            <w:pPr>
              <w:jc w:val="both"/>
              <w:rPr>
                <w:sz w:val="28"/>
                <w:szCs w:val="28"/>
              </w:rPr>
            </w:pPr>
            <w:r>
              <w:rPr>
                <w:sz w:val="28"/>
                <w:szCs w:val="28"/>
              </w:rPr>
              <w:t>5</w:t>
            </w:r>
          </w:p>
        </w:tc>
        <w:tc>
          <w:tcPr>
            <w:tcW w:w="3408" w:type="dxa"/>
          </w:tcPr>
          <w:p w14:paraId="00B3289A" w14:textId="77777777" w:rsidR="009E018E" w:rsidRPr="009E018E" w:rsidRDefault="009E018E" w:rsidP="00174568">
            <w:pPr>
              <w:jc w:val="both"/>
              <w:rPr>
                <w:sz w:val="28"/>
                <w:szCs w:val="28"/>
                <w:lang w:val="en-US"/>
              </w:rPr>
            </w:pPr>
            <w:r w:rsidRPr="009E018E">
              <w:rPr>
                <w:sz w:val="28"/>
                <w:szCs w:val="28"/>
                <w:lang w:val="en-US"/>
              </w:rPr>
              <w:t>Tasks planned to be performed within the framework of the project implementation</w:t>
            </w:r>
          </w:p>
        </w:tc>
        <w:tc>
          <w:tcPr>
            <w:tcW w:w="5761" w:type="dxa"/>
          </w:tcPr>
          <w:p w14:paraId="7429544A" w14:textId="77777777" w:rsidR="009E018E" w:rsidRPr="009E018E" w:rsidRDefault="009E018E" w:rsidP="00174568">
            <w:pPr>
              <w:pStyle w:val="2"/>
              <w:jc w:val="both"/>
              <w:rPr>
                <w:rFonts w:ascii="Times New Roman" w:hAnsi="Times New Roman"/>
                <w:sz w:val="28"/>
                <w:szCs w:val="28"/>
                <w:lang w:val="en-US"/>
              </w:rPr>
            </w:pPr>
            <w:r w:rsidRPr="009E018E">
              <w:rPr>
                <w:rFonts w:ascii="Times New Roman" w:hAnsi="Times New Roman"/>
                <w:sz w:val="28"/>
                <w:szCs w:val="28"/>
                <w:lang w:val="en-US"/>
              </w:rPr>
              <w:t>1. Development and implementation of the project solution for neutralising unpleasant odours from the sewage collector ventilation shafts</w:t>
            </w:r>
          </w:p>
          <w:p w14:paraId="70938B80" w14:textId="77777777" w:rsidR="009E018E" w:rsidRPr="009E018E" w:rsidRDefault="009E018E" w:rsidP="00174568">
            <w:pPr>
              <w:jc w:val="both"/>
              <w:rPr>
                <w:sz w:val="28"/>
                <w:szCs w:val="28"/>
                <w:lang w:val="en-US"/>
              </w:rPr>
            </w:pPr>
            <w:r w:rsidRPr="009E018E">
              <w:rPr>
                <w:sz w:val="28"/>
                <w:szCs w:val="28"/>
                <w:lang w:val="en-US"/>
              </w:rPr>
              <w:t>2. Neutralisation of unpleasant odours from the sewage collector ventilation shafts</w:t>
            </w:r>
          </w:p>
        </w:tc>
      </w:tr>
      <w:tr w:rsidR="009E018E" w:rsidRPr="00FC0436" w14:paraId="2E730A3B" w14:textId="77777777" w:rsidTr="00174568">
        <w:trPr>
          <w:trHeight w:val="605"/>
        </w:trPr>
        <w:tc>
          <w:tcPr>
            <w:tcW w:w="704" w:type="dxa"/>
          </w:tcPr>
          <w:p w14:paraId="3F2A11EB" w14:textId="77777777" w:rsidR="009E018E" w:rsidRPr="001B39EB" w:rsidRDefault="009E018E" w:rsidP="00174568">
            <w:pPr>
              <w:jc w:val="both"/>
              <w:rPr>
                <w:sz w:val="28"/>
                <w:szCs w:val="28"/>
              </w:rPr>
            </w:pPr>
            <w:r>
              <w:rPr>
                <w:sz w:val="28"/>
                <w:szCs w:val="28"/>
              </w:rPr>
              <w:t>6</w:t>
            </w:r>
          </w:p>
        </w:tc>
        <w:tc>
          <w:tcPr>
            <w:tcW w:w="3408" w:type="dxa"/>
          </w:tcPr>
          <w:p w14:paraId="4BFE45C7" w14:textId="77777777" w:rsidR="009E018E" w:rsidRPr="001B39EB" w:rsidRDefault="009E018E" w:rsidP="00174568">
            <w:pPr>
              <w:jc w:val="both"/>
              <w:rPr>
                <w:sz w:val="28"/>
                <w:szCs w:val="28"/>
              </w:rPr>
            </w:pPr>
            <w:r>
              <w:rPr>
                <w:sz w:val="28"/>
                <w:szCs w:val="28"/>
              </w:rPr>
              <w:t>Target groups</w:t>
            </w:r>
          </w:p>
        </w:tc>
        <w:tc>
          <w:tcPr>
            <w:tcW w:w="5761" w:type="dxa"/>
          </w:tcPr>
          <w:p w14:paraId="74C7C239" w14:textId="77777777" w:rsidR="009E018E" w:rsidRPr="009E018E" w:rsidRDefault="009E018E" w:rsidP="00174568">
            <w:pPr>
              <w:jc w:val="both"/>
              <w:rPr>
                <w:sz w:val="28"/>
                <w:szCs w:val="28"/>
                <w:lang w:val="en-US"/>
              </w:rPr>
            </w:pPr>
            <w:r w:rsidRPr="009E018E">
              <w:rPr>
                <w:sz w:val="28"/>
                <w:szCs w:val="28"/>
                <w:lang w:val="en-US"/>
              </w:rPr>
              <w:t>Legal entities and individuals of the city of Minsk</w:t>
            </w:r>
          </w:p>
        </w:tc>
      </w:tr>
      <w:tr w:rsidR="009E018E" w:rsidRPr="00FC0436" w14:paraId="746F4831" w14:textId="77777777" w:rsidTr="00174568">
        <w:tc>
          <w:tcPr>
            <w:tcW w:w="704" w:type="dxa"/>
          </w:tcPr>
          <w:p w14:paraId="0E5C474A" w14:textId="77777777" w:rsidR="009E018E" w:rsidRPr="001B39EB" w:rsidRDefault="009E018E" w:rsidP="00174568">
            <w:pPr>
              <w:jc w:val="both"/>
              <w:rPr>
                <w:sz w:val="28"/>
                <w:szCs w:val="28"/>
              </w:rPr>
            </w:pPr>
            <w:r>
              <w:rPr>
                <w:sz w:val="28"/>
                <w:szCs w:val="28"/>
              </w:rPr>
              <w:t>7</w:t>
            </w:r>
          </w:p>
        </w:tc>
        <w:tc>
          <w:tcPr>
            <w:tcW w:w="3408" w:type="dxa"/>
          </w:tcPr>
          <w:p w14:paraId="05278ACC" w14:textId="77777777" w:rsidR="009E018E" w:rsidRPr="009E018E" w:rsidRDefault="009E018E" w:rsidP="00174568">
            <w:pPr>
              <w:jc w:val="both"/>
              <w:rPr>
                <w:sz w:val="28"/>
                <w:szCs w:val="28"/>
                <w:lang w:val="en-US"/>
              </w:rPr>
            </w:pPr>
            <w:r w:rsidRPr="009E018E">
              <w:rPr>
                <w:sz w:val="28"/>
                <w:szCs w:val="28"/>
                <w:lang w:val="en-US"/>
              </w:rPr>
              <w:t>Brief description of the measures within the project</w:t>
            </w:r>
          </w:p>
        </w:tc>
        <w:tc>
          <w:tcPr>
            <w:tcW w:w="5761" w:type="dxa"/>
          </w:tcPr>
          <w:p w14:paraId="59046E54" w14:textId="77777777" w:rsidR="009E018E" w:rsidRPr="009E018E" w:rsidRDefault="009E018E" w:rsidP="00174568">
            <w:pPr>
              <w:rPr>
                <w:sz w:val="28"/>
                <w:szCs w:val="28"/>
                <w:lang w:val="en-US"/>
              </w:rPr>
            </w:pPr>
            <w:r w:rsidRPr="009E018E">
              <w:rPr>
                <w:sz w:val="28"/>
                <w:szCs w:val="28"/>
                <w:lang w:val="en-US"/>
              </w:rPr>
              <w:t>1. Development of the project documentation;</w:t>
            </w:r>
          </w:p>
          <w:p w14:paraId="1A096B87" w14:textId="77777777" w:rsidR="009E018E" w:rsidRPr="009E018E" w:rsidRDefault="009E018E" w:rsidP="00174568">
            <w:pPr>
              <w:rPr>
                <w:sz w:val="28"/>
                <w:szCs w:val="28"/>
                <w:lang w:val="en-US"/>
              </w:rPr>
            </w:pPr>
            <w:r w:rsidRPr="009E018E">
              <w:rPr>
                <w:sz w:val="28"/>
                <w:szCs w:val="28"/>
                <w:lang w:val="en-US"/>
              </w:rPr>
              <w:t>2. Purchase of the odour neutralisation system;</w:t>
            </w:r>
          </w:p>
          <w:p w14:paraId="766ED9CE" w14:textId="77777777" w:rsidR="009E018E" w:rsidRPr="009E018E" w:rsidRDefault="009E018E" w:rsidP="00174568">
            <w:pPr>
              <w:rPr>
                <w:sz w:val="28"/>
                <w:szCs w:val="28"/>
                <w:lang w:val="en-US"/>
              </w:rPr>
            </w:pPr>
            <w:r w:rsidRPr="009E018E">
              <w:rPr>
                <w:sz w:val="28"/>
                <w:szCs w:val="28"/>
                <w:lang w:val="en-US"/>
              </w:rPr>
              <w:t>3. Installation, commissioning and start-up of the system;</w:t>
            </w:r>
          </w:p>
          <w:p w14:paraId="15A6A3C8" w14:textId="77777777" w:rsidR="009E018E" w:rsidRPr="009E018E" w:rsidRDefault="009E018E" w:rsidP="00174568">
            <w:pPr>
              <w:rPr>
                <w:sz w:val="28"/>
                <w:szCs w:val="28"/>
                <w:lang w:val="en-US"/>
              </w:rPr>
            </w:pPr>
            <w:r w:rsidRPr="009E018E">
              <w:rPr>
                <w:sz w:val="28"/>
                <w:szCs w:val="28"/>
                <w:lang w:val="en-US"/>
              </w:rPr>
              <w:t>4. Training of the personnel;</w:t>
            </w:r>
          </w:p>
          <w:p w14:paraId="34E5F185" w14:textId="77777777" w:rsidR="009E018E" w:rsidRPr="009E018E" w:rsidRDefault="009E018E" w:rsidP="00174568">
            <w:pPr>
              <w:rPr>
                <w:sz w:val="28"/>
                <w:szCs w:val="28"/>
                <w:lang w:val="en-US"/>
              </w:rPr>
            </w:pPr>
            <w:r w:rsidRPr="009E018E">
              <w:rPr>
                <w:sz w:val="28"/>
                <w:szCs w:val="28"/>
                <w:lang w:val="en-US"/>
              </w:rPr>
              <w:t>5. Emission monitoring.</w:t>
            </w:r>
          </w:p>
        </w:tc>
      </w:tr>
      <w:tr w:rsidR="009E018E" w:rsidRPr="00FC0436" w14:paraId="6C49D23F" w14:textId="77777777" w:rsidTr="00174568">
        <w:tc>
          <w:tcPr>
            <w:tcW w:w="704" w:type="dxa"/>
          </w:tcPr>
          <w:p w14:paraId="6C316793" w14:textId="77777777" w:rsidR="009E018E" w:rsidRPr="001B39EB" w:rsidRDefault="009E018E" w:rsidP="00174568">
            <w:pPr>
              <w:jc w:val="both"/>
              <w:rPr>
                <w:sz w:val="28"/>
                <w:szCs w:val="28"/>
              </w:rPr>
            </w:pPr>
            <w:r>
              <w:rPr>
                <w:sz w:val="28"/>
                <w:szCs w:val="28"/>
              </w:rPr>
              <w:t>8</w:t>
            </w:r>
          </w:p>
        </w:tc>
        <w:tc>
          <w:tcPr>
            <w:tcW w:w="9169" w:type="dxa"/>
            <w:gridSpan w:val="2"/>
          </w:tcPr>
          <w:p w14:paraId="3E5F6245" w14:textId="77777777" w:rsidR="009E018E" w:rsidRPr="009E018E" w:rsidRDefault="009E018E" w:rsidP="00174568">
            <w:pPr>
              <w:jc w:val="both"/>
              <w:rPr>
                <w:sz w:val="28"/>
                <w:szCs w:val="28"/>
                <w:lang w:val="en-US"/>
              </w:rPr>
            </w:pPr>
            <w:r w:rsidRPr="009E018E">
              <w:rPr>
                <w:sz w:val="28"/>
                <w:szCs w:val="28"/>
                <w:lang w:val="en-US"/>
              </w:rPr>
              <w:t>Total volume of financing (in US dollars)</w:t>
            </w:r>
          </w:p>
        </w:tc>
      </w:tr>
      <w:tr w:rsidR="009E018E" w:rsidRPr="00FC0436" w14:paraId="53C8C06A" w14:textId="77777777" w:rsidTr="00174568">
        <w:tc>
          <w:tcPr>
            <w:tcW w:w="704" w:type="dxa"/>
          </w:tcPr>
          <w:p w14:paraId="6713AB47" w14:textId="77777777" w:rsidR="009E018E" w:rsidRPr="009E018E" w:rsidRDefault="009E018E" w:rsidP="00174568">
            <w:pPr>
              <w:jc w:val="both"/>
              <w:rPr>
                <w:sz w:val="28"/>
                <w:szCs w:val="28"/>
                <w:lang w:val="en-US"/>
              </w:rPr>
            </w:pPr>
          </w:p>
        </w:tc>
        <w:tc>
          <w:tcPr>
            <w:tcW w:w="3408" w:type="dxa"/>
          </w:tcPr>
          <w:p w14:paraId="789EAE50" w14:textId="77777777" w:rsidR="009E018E" w:rsidRPr="001B39EB" w:rsidRDefault="009E018E" w:rsidP="00174568">
            <w:pPr>
              <w:jc w:val="both"/>
              <w:rPr>
                <w:sz w:val="28"/>
                <w:szCs w:val="28"/>
              </w:rPr>
            </w:pPr>
            <w:r>
              <w:rPr>
                <w:sz w:val="28"/>
                <w:szCs w:val="28"/>
              </w:rPr>
              <w:t>Source of financing</w:t>
            </w:r>
          </w:p>
        </w:tc>
        <w:tc>
          <w:tcPr>
            <w:tcW w:w="5761" w:type="dxa"/>
          </w:tcPr>
          <w:p w14:paraId="7A922600" w14:textId="77777777" w:rsidR="009E018E" w:rsidRPr="009E018E" w:rsidRDefault="009E018E" w:rsidP="00174568">
            <w:pPr>
              <w:jc w:val="both"/>
              <w:rPr>
                <w:sz w:val="28"/>
                <w:szCs w:val="28"/>
                <w:lang w:val="en-US"/>
              </w:rPr>
            </w:pPr>
            <w:r w:rsidRPr="009E018E">
              <w:rPr>
                <w:sz w:val="28"/>
                <w:szCs w:val="28"/>
                <w:lang w:val="en-US"/>
              </w:rPr>
              <w:t>Total volume of financing (in US dollars)</w:t>
            </w:r>
          </w:p>
        </w:tc>
      </w:tr>
      <w:tr w:rsidR="009E018E" w:rsidRPr="00FC0436" w14:paraId="3E2CAB9A" w14:textId="77777777" w:rsidTr="00174568">
        <w:tc>
          <w:tcPr>
            <w:tcW w:w="704" w:type="dxa"/>
          </w:tcPr>
          <w:p w14:paraId="578A8A6F" w14:textId="77777777" w:rsidR="009E018E" w:rsidRPr="009E018E" w:rsidRDefault="009E018E" w:rsidP="00174568">
            <w:pPr>
              <w:jc w:val="both"/>
              <w:rPr>
                <w:sz w:val="28"/>
                <w:szCs w:val="28"/>
                <w:lang w:val="en-US"/>
              </w:rPr>
            </w:pPr>
          </w:p>
        </w:tc>
        <w:tc>
          <w:tcPr>
            <w:tcW w:w="3408" w:type="dxa"/>
          </w:tcPr>
          <w:p w14:paraId="78ED9BB0" w14:textId="77777777" w:rsidR="009E018E" w:rsidRPr="001B39EB" w:rsidRDefault="009E018E" w:rsidP="00174568">
            <w:pPr>
              <w:jc w:val="both"/>
              <w:rPr>
                <w:sz w:val="28"/>
                <w:szCs w:val="28"/>
              </w:rPr>
            </w:pPr>
            <w:r>
              <w:rPr>
                <w:sz w:val="28"/>
                <w:szCs w:val="28"/>
              </w:rPr>
              <w:t>Donor’s funds</w:t>
            </w:r>
          </w:p>
        </w:tc>
        <w:tc>
          <w:tcPr>
            <w:tcW w:w="5761" w:type="dxa"/>
          </w:tcPr>
          <w:p w14:paraId="4E7AA732" w14:textId="77777777" w:rsidR="009E018E" w:rsidRPr="009E018E" w:rsidRDefault="009E018E" w:rsidP="00174568">
            <w:pPr>
              <w:jc w:val="both"/>
              <w:rPr>
                <w:sz w:val="28"/>
                <w:szCs w:val="28"/>
                <w:lang w:val="en-US"/>
              </w:rPr>
            </w:pPr>
            <w:r w:rsidRPr="009E018E">
              <w:rPr>
                <w:sz w:val="28"/>
                <w:szCs w:val="28"/>
                <w:lang w:val="en-US"/>
              </w:rPr>
              <w:t>- Project documentation: 20 thousand US dollars (approximately);</w:t>
            </w:r>
          </w:p>
          <w:p w14:paraId="526D1788" w14:textId="77777777" w:rsidR="009E018E" w:rsidRPr="009E018E" w:rsidRDefault="009E018E" w:rsidP="00174568">
            <w:pPr>
              <w:jc w:val="both"/>
              <w:rPr>
                <w:sz w:val="28"/>
                <w:szCs w:val="28"/>
                <w:lang w:val="en-US"/>
              </w:rPr>
            </w:pPr>
            <w:r w:rsidRPr="009E018E">
              <w:rPr>
                <w:sz w:val="28"/>
                <w:szCs w:val="28"/>
                <w:lang w:val="en-US"/>
              </w:rPr>
              <w:t>- Odour neutralisation system: 40 thousand US dollars (approximately);</w:t>
            </w:r>
          </w:p>
        </w:tc>
      </w:tr>
      <w:tr w:rsidR="009E018E" w:rsidRPr="00FC0436" w14:paraId="039E154D" w14:textId="77777777" w:rsidTr="00174568">
        <w:tc>
          <w:tcPr>
            <w:tcW w:w="704" w:type="dxa"/>
          </w:tcPr>
          <w:p w14:paraId="52BFFBB3" w14:textId="77777777" w:rsidR="009E018E" w:rsidRPr="009E018E" w:rsidRDefault="009E018E" w:rsidP="00174568">
            <w:pPr>
              <w:jc w:val="both"/>
              <w:rPr>
                <w:sz w:val="28"/>
                <w:szCs w:val="28"/>
                <w:lang w:val="en-US"/>
              </w:rPr>
            </w:pPr>
          </w:p>
        </w:tc>
        <w:tc>
          <w:tcPr>
            <w:tcW w:w="3408" w:type="dxa"/>
          </w:tcPr>
          <w:p w14:paraId="2A27EA2E" w14:textId="77777777" w:rsidR="009E018E" w:rsidRPr="001B39EB" w:rsidRDefault="009E018E" w:rsidP="00174568">
            <w:pPr>
              <w:jc w:val="both"/>
              <w:rPr>
                <w:sz w:val="28"/>
                <w:szCs w:val="28"/>
              </w:rPr>
            </w:pPr>
            <w:r>
              <w:rPr>
                <w:sz w:val="28"/>
                <w:szCs w:val="28"/>
              </w:rPr>
              <w:t>Co-financing</w:t>
            </w:r>
          </w:p>
        </w:tc>
        <w:tc>
          <w:tcPr>
            <w:tcW w:w="5761" w:type="dxa"/>
          </w:tcPr>
          <w:p w14:paraId="584FAC9E" w14:textId="77777777" w:rsidR="009E018E" w:rsidRPr="009E018E" w:rsidRDefault="009E018E" w:rsidP="00174568">
            <w:pPr>
              <w:jc w:val="both"/>
              <w:rPr>
                <w:sz w:val="28"/>
                <w:szCs w:val="28"/>
                <w:lang w:val="en-US"/>
              </w:rPr>
            </w:pPr>
            <w:r w:rsidRPr="009E018E">
              <w:rPr>
                <w:sz w:val="28"/>
                <w:szCs w:val="28"/>
                <w:lang w:val="en-US"/>
              </w:rPr>
              <w:t>3% from the cost of the system for training the personnel that is 1,200 US dollars</w:t>
            </w:r>
          </w:p>
        </w:tc>
      </w:tr>
      <w:tr w:rsidR="009E018E" w:rsidRPr="001B39EB" w14:paraId="232D3E6E" w14:textId="77777777" w:rsidTr="00174568">
        <w:tc>
          <w:tcPr>
            <w:tcW w:w="704" w:type="dxa"/>
          </w:tcPr>
          <w:p w14:paraId="62A3CDAA" w14:textId="77777777" w:rsidR="009E018E" w:rsidRPr="001B39EB" w:rsidRDefault="009E018E" w:rsidP="00174568">
            <w:pPr>
              <w:jc w:val="both"/>
              <w:rPr>
                <w:sz w:val="28"/>
                <w:szCs w:val="28"/>
              </w:rPr>
            </w:pPr>
            <w:r>
              <w:rPr>
                <w:sz w:val="28"/>
                <w:szCs w:val="28"/>
              </w:rPr>
              <w:t>9</w:t>
            </w:r>
          </w:p>
        </w:tc>
        <w:tc>
          <w:tcPr>
            <w:tcW w:w="3408" w:type="dxa"/>
          </w:tcPr>
          <w:p w14:paraId="4115D06B" w14:textId="77777777" w:rsidR="009E018E" w:rsidRPr="009E018E" w:rsidRDefault="009E018E" w:rsidP="00174568">
            <w:pPr>
              <w:jc w:val="both"/>
              <w:rPr>
                <w:sz w:val="28"/>
                <w:szCs w:val="28"/>
                <w:lang w:val="en-US"/>
              </w:rPr>
            </w:pPr>
            <w:r w:rsidRPr="009E018E">
              <w:rPr>
                <w:sz w:val="28"/>
                <w:szCs w:val="28"/>
                <w:lang w:val="en-US"/>
              </w:rPr>
              <w:t>Project implementation place (region/district, city)</w:t>
            </w:r>
          </w:p>
        </w:tc>
        <w:tc>
          <w:tcPr>
            <w:tcW w:w="5761" w:type="dxa"/>
          </w:tcPr>
          <w:p w14:paraId="7CE974A8" w14:textId="77777777" w:rsidR="009E018E" w:rsidRPr="001B39EB" w:rsidRDefault="009E018E" w:rsidP="00174568">
            <w:pPr>
              <w:jc w:val="both"/>
              <w:rPr>
                <w:sz w:val="28"/>
                <w:szCs w:val="28"/>
              </w:rPr>
            </w:pPr>
            <w:r>
              <w:rPr>
                <w:sz w:val="28"/>
                <w:szCs w:val="28"/>
              </w:rPr>
              <w:t xml:space="preserve">City of </w:t>
            </w:r>
            <w:smartTag w:uri="urn:schemas-microsoft-com:office:smarttags" w:element="place">
              <w:smartTag w:uri="urn:schemas-microsoft-com:office:smarttags" w:element="City">
                <w:r>
                  <w:rPr>
                    <w:sz w:val="28"/>
                    <w:szCs w:val="28"/>
                  </w:rPr>
                  <w:t>Minsk</w:t>
                </w:r>
              </w:smartTag>
            </w:smartTag>
          </w:p>
        </w:tc>
      </w:tr>
      <w:tr w:rsidR="009E018E" w:rsidRPr="001B39EB" w14:paraId="44145069" w14:textId="77777777" w:rsidTr="00174568">
        <w:trPr>
          <w:trHeight w:val="1549"/>
        </w:trPr>
        <w:tc>
          <w:tcPr>
            <w:tcW w:w="704" w:type="dxa"/>
          </w:tcPr>
          <w:p w14:paraId="19C0BCEF" w14:textId="77777777" w:rsidR="009E018E" w:rsidRPr="001B39EB" w:rsidRDefault="009E018E" w:rsidP="00174568">
            <w:pPr>
              <w:jc w:val="both"/>
              <w:rPr>
                <w:sz w:val="28"/>
                <w:szCs w:val="28"/>
              </w:rPr>
            </w:pPr>
            <w:r>
              <w:rPr>
                <w:sz w:val="28"/>
                <w:szCs w:val="28"/>
              </w:rPr>
              <w:t>10</w:t>
            </w:r>
          </w:p>
        </w:tc>
        <w:tc>
          <w:tcPr>
            <w:tcW w:w="3408" w:type="dxa"/>
          </w:tcPr>
          <w:p w14:paraId="121CCE6E" w14:textId="77777777" w:rsidR="009E018E" w:rsidRPr="009E018E" w:rsidRDefault="009E018E" w:rsidP="00174568">
            <w:pPr>
              <w:jc w:val="both"/>
              <w:rPr>
                <w:sz w:val="28"/>
                <w:szCs w:val="28"/>
                <w:lang w:val="en-US"/>
              </w:rPr>
            </w:pPr>
            <w:r w:rsidRPr="009E018E">
              <w:rPr>
                <w:sz w:val="28"/>
                <w:szCs w:val="28"/>
                <w:lang w:val="en-US"/>
              </w:rPr>
              <w:t>Contact person: Initials, surname, position, phone, e-mail address</w:t>
            </w:r>
          </w:p>
        </w:tc>
        <w:tc>
          <w:tcPr>
            <w:tcW w:w="5761" w:type="dxa"/>
          </w:tcPr>
          <w:p w14:paraId="76280EE0" w14:textId="77777777" w:rsidR="009E018E" w:rsidRPr="009E018E" w:rsidRDefault="009E018E" w:rsidP="00174568">
            <w:pPr>
              <w:jc w:val="both"/>
              <w:rPr>
                <w:sz w:val="28"/>
                <w:szCs w:val="28"/>
                <w:lang w:val="en-US"/>
              </w:rPr>
            </w:pPr>
            <w:r w:rsidRPr="009E018E">
              <w:rPr>
                <w:sz w:val="28"/>
                <w:szCs w:val="28"/>
                <w:lang w:val="en-US"/>
              </w:rPr>
              <w:t>Kudritsky, Alexander Antonovich</w:t>
            </w:r>
          </w:p>
          <w:p w14:paraId="79CF9B10" w14:textId="61043023" w:rsidR="009E018E" w:rsidRPr="009E018E" w:rsidRDefault="009E018E" w:rsidP="00174568">
            <w:pPr>
              <w:jc w:val="both"/>
              <w:rPr>
                <w:sz w:val="28"/>
                <w:szCs w:val="28"/>
                <w:lang w:val="en-US"/>
              </w:rPr>
            </w:pPr>
            <w:r w:rsidRPr="009E018E">
              <w:rPr>
                <w:sz w:val="28"/>
                <w:szCs w:val="28"/>
                <w:lang w:val="en-US"/>
              </w:rPr>
              <w:t>(</w:t>
            </w:r>
            <w:r w:rsidR="00DF777F">
              <w:rPr>
                <w:sz w:val="28"/>
                <w:szCs w:val="28"/>
                <w:lang w:val="en-US"/>
              </w:rPr>
              <w:t>Head</w:t>
            </w:r>
            <w:r w:rsidRPr="009E018E">
              <w:rPr>
                <w:sz w:val="28"/>
                <w:szCs w:val="28"/>
                <w:lang w:val="en-US"/>
              </w:rPr>
              <w:t xml:space="preserve"> of Minskochistvod Enterprise, +375447601064,</w:t>
            </w:r>
          </w:p>
          <w:p w14:paraId="2C7CA009" w14:textId="77777777" w:rsidR="009E018E" w:rsidRPr="001B39EB" w:rsidRDefault="009E018E" w:rsidP="00174568">
            <w:pPr>
              <w:jc w:val="both"/>
              <w:rPr>
                <w:sz w:val="28"/>
                <w:szCs w:val="28"/>
              </w:rPr>
            </w:pPr>
            <w:r>
              <w:rPr>
                <w:sz w:val="28"/>
                <w:szCs w:val="28"/>
              </w:rPr>
              <w:t>KUDRITCKII_AA@minskvodokanal.by)</w:t>
            </w:r>
          </w:p>
        </w:tc>
      </w:tr>
      <w:tr w:rsidR="009E018E" w:rsidRPr="00FC0436" w14:paraId="3BDC0D4C" w14:textId="77777777" w:rsidTr="00174568">
        <w:trPr>
          <w:trHeight w:val="1549"/>
        </w:trPr>
        <w:tc>
          <w:tcPr>
            <w:tcW w:w="704" w:type="dxa"/>
          </w:tcPr>
          <w:p w14:paraId="5A5DAF80" w14:textId="77777777" w:rsidR="009E018E" w:rsidRPr="001B39EB" w:rsidRDefault="009E018E" w:rsidP="00174568">
            <w:pPr>
              <w:jc w:val="both"/>
              <w:rPr>
                <w:sz w:val="28"/>
                <w:szCs w:val="28"/>
              </w:rPr>
            </w:pPr>
            <w:r>
              <w:rPr>
                <w:sz w:val="28"/>
                <w:szCs w:val="28"/>
              </w:rPr>
              <w:t>11</w:t>
            </w:r>
          </w:p>
        </w:tc>
        <w:tc>
          <w:tcPr>
            <w:tcW w:w="3408" w:type="dxa"/>
          </w:tcPr>
          <w:p w14:paraId="572295CB" w14:textId="77777777" w:rsidR="009E018E" w:rsidRPr="001B39EB" w:rsidRDefault="009E018E" w:rsidP="00174568">
            <w:pPr>
              <w:jc w:val="both"/>
              <w:rPr>
                <w:sz w:val="28"/>
                <w:szCs w:val="28"/>
              </w:rPr>
            </w:pPr>
            <w:r>
              <w:rPr>
                <w:sz w:val="28"/>
                <w:szCs w:val="28"/>
              </w:rPr>
              <w:t xml:space="preserve">Justification </w:t>
            </w:r>
          </w:p>
        </w:tc>
        <w:tc>
          <w:tcPr>
            <w:tcW w:w="5761" w:type="dxa"/>
          </w:tcPr>
          <w:p w14:paraId="64D973D8" w14:textId="6A840669" w:rsidR="009E018E" w:rsidRPr="009E018E" w:rsidRDefault="009E018E" w:rsidP="00174568">
            <w:pPr>
              <w:ind w:firstLine="708"/>
              <w:jc w:val="both"/>
              <w:rPr>
                <w:sz w:val="28"/>
                <w:szCs w:val="28"/>
                <w:lang w:val="en-US"/>
              </w:rPr>
            </w:pPr>
            <w:r w:rsidRPr="009E018E">
              <w:rPr>
                <w:sz w:val="28"/>
                <w:szCs w:val="28"/>
                <w:lang w:val="en-US"/>
              </w:rPr>
              <w:t xml:space="preserve">Currently, the “Circumferential” gravity sewage collector (with a diameter of 2,000 mm) is in operation of the Enterprise. The collector is provided with 15 ventilation shafts, eleven of which are located within the precincts of the city </w:t>
            </w:r>
            <w:r w:rsidRPr="009E018E">
              <w:rPr>
                <w:sz w:val="28"/>
                <w:szCs w:val="28"/>
                <w:lang w:val="en-US"/>
              </w:rPr>
              <w:lastRenderedPageBreak/>
              <w:t xml:space="preserve">of Minsk near the Minsk Ring Motorway. During the operation of the collector, unpleasant odours are released into the atmosphere through ventilation shafts, which in turn creates discomfort for residents of nearby houses of the city situated in the area of Kamenogorskaya Street (44 residential buildings housing approximately 7,000 inhabitants) and Slobodskaya Street (66 residential buildings housing approximately 40,000 inhabitants) due to appearance of unpleasant odours. During the survey, it was found that unpleasant odours are released from point sources of the ventilation shafts. As seen above, the facilities of centralised waste water disposal systems, while being operated, are sources of foul-smelling gaseous substances (mainly ammonia, hydrogen sulphide and </w:t>
            </w:r>
            <w:r w:rsidR="006A0ABD" w:rsidRPr="006A0ABD">
              <w:rPr>
                <w:sz w:val="28"/>
                <w:szCs w:val="28"/>
                <w:lang w:val="en-US"/>
              </w:rPr>
              <w:t>methane</w:t>
            </w:r>
            <w:r w:rsidRPr="009E018E">
              <w:rPr>
                <w:sz w:val="28"/>
                <w:szCs w:val="28"/>
                <w:lang w:val="en-US"/>
              </w:rPr>
              <w:t>). To solve this problem, gas purification device</w:t>
            </w:r>
            <w:r w:rsidR="006A0ABD">
              <w:rPr>
                <w:sz w:val="28"/>
                <w:szCs w:val="28"/>
                <w:lang w:val="en-US"/>
              </w:rPr>
              <w:t>s</w:t>
            </w:r>
            <w:r w:rsidRPr="009E018E">
              <w:rPr>
                <w:sz w:val="28"/>
                <w:szCs w:val="28"/>
                <w:lang w:val="en-US"/>
              </w:rPr>
              <w:t xml:space="preserve"> based on the use of ozone gas (ozonation)</w:t>
            </w:r>
            <w:r w:rsidR="006A0ABD">
              <w:rPr>
                <w:sz w:val="28"/>
                <w:szCs w:val="28"/>
                <w:lang w:val="en-US"/>
              </w:rPr>
              <w:t xml:space="preserve"> are used</w:t>
            </w:r>
            <w:r w:rsidRPr="009E018E">
              <w:rPr>
                <w:sz w:val="28"/>
                <w:szCs w:val="28"/>
                <w:lang w:val="en-US"/>
              </w:rPr>
              <w:t>.</w:t>
            </w:r>
          </w:p>
          <w:p w14:paraId="053E2347" w14:textId="77777777" w:rsidR="009E018E" w:rsidRPr="009E018E" w:rsidRDefault="009E018E" w:rsidP="00174568">
            <w:pPr>
              <w:ind w:firstLine="708"/>
              <w:jc w:val="both"/>
              <w:rPr>
                <w:sz w:val="28"/>
                <w:szCs w:val="28"/>
                <w:lang w:val="en-US"/>
              </w:rPr>
            </w:pPr>
            <w:r w:rsidRPr="009E018E">
              <w:rPr>
                <w:sz w:val="28"/>
                <w:szCs w:val="28"/>
                <w:lang w:val="en-US"/>
              </w:rPr>
              <w:t xml:space="preserve">The effect of ozone on oxidation of the substances, which are formed on the structural elements of the sewage collector and contribute to the destruction of elements as a result of gas corrosion, increases the service life of the structural elements of the collector and reduce the release of unpleasant odours.  </w:t>
            </w:r>
          </w:p>
        </w:tc>
      </w:tr>
      <w:tr w:rsidR="009E018E" w:rsidRPr="00FC0436" w14:paraId="15AEC83C" w14:textId="77777777" w:rsidTr="00174568">
        <w:trPr>
          <w:trHeight w:val="1549"/>
        </w:trPr>
        <w:tc>
          <w:tcPr>
            <w:tcW w:w="704" w:type="dxa"/>
          </w:tcPr>
          <w:p w14:paraId="03F6E06C" w14:textId="77777777" w:rsidR="009E018E" w:rsidRPr="001B39EB" w:rsidRDefault="009E018E" w:rsidP="00174568">
            <w:pPr>
              <w:jc w:val="both"/>
              <w:rPr>
                <w:sz w:val="28"/>
                <w:szCs w:val="28"/>
              </w:rPr>
            </w:pPr>
            <w:r>
              <w:rPr>
                <w:sz w:val="28"/>
                <w:szCs w:val="28"/>
              </w:rPr>
              <w:lastRenderedPageBreak/>
              <w:t>12</w:t>
            </w:r>
          </w:p>
        </w:tc>
        <w:tc>
          <w:tcPr>
            <w:tcW w:w="3408" w:type="dxa"/>
          </w:tcPr>
          <w:p w14:paraId="310C5179" w14:textId="77777777" w:rsidR="009E018E" w:rsidRPr="009E018E" w:rsidRDefault="009E018E" w:rsidP="00174568">
            <w:pPr>
              <w:jc w:val="both"/>
              <w:rPr>
                <w:sz w:val="28"/>
                <w:szCs w:val="28"/>
                <w:lang w:val="en-US"/>
              </w:rPr>
            </w:pPr>
            <w:r w:rsidRPr="009E018E">
              <w:rPr>
                <w:sz w:val="28"/>
                <w:szCs w:val="28"/>
                <w:lang w:val="en-US"/>
              </w:rPr>
              <w:t>Results of implementation of the project</w:t>
            </w:r>
          </w:p>
        </w:tc>
        <w:tc>
          <w:tcPr>
            <w:tcW w:w="5761" w:type="dxa"/>
          </w:tcPr>
          <w:p w14:paraId="409E5850" w14:textId="77777777" w:rsidR="009E018E" w:rsidRPr="009E018E" w:rsidRDefault="009E018E" w:rsidP="00174568">
            <w:pPr>
              <w:jc w:val="both"/>
              <w:rPr>
                <w:sz w:val="28"/>
                <w:szCs w:val="28"/>
                <w:lang w:val="en-US"/>
              </w:rPr>
            </w:pPr>
            <w:r w:rsidRPr="009E018E">
              <w:rPr>
                <w:sz w:val="28"/>
                <w:szCs w:val="28"/>
                <w:lang w:val="en-US"/>
              </w:rPr>
              <w:t>Increasing the comfort of living of the population due to reducing the release of unpleasant odours.</w:t>
            </w:r>
          </w:p>
        </w:tc>
      </w:tr>
    </w:tbl>
    <w:p w14:paraId="543E72D2" w14:textId="52825ADA" w:rsidR="009E018E" w:rsidRPr="00D81A44" w:rsidRDefault="009E018E" w:rsidP="00FC0436">
      <w:pPr>
        <w:shd w:val="clear" w:color="auto" w:fill="FFFFFF"/>
        <w:rPr>
          <w:sz w:val="30"/>
          <w:szCs w:val="30"/>
        </w:rPr>
      </w:pPr>
      <w:bookmarkStart w:id="0" w:name="_GoBack"/>
      <w:bookmarkEnd w:id="0"/>
    </w:p>
    <w:sectPr w:rsidR="009E018E" w:rsidRPr="00D81A44" w:rsidSect="00FC0436">
      <w:pgSz w:w="11906" w:h="16838"/>
      <w:pgMar w:top="1134"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092FB" w14:textId="77777777" w:rsidR="00F82188" w:rsidRDefault="00F82188" w:rsidP="008B4CA6">
      <w:r>
        <w:separator/>
      </w:r>
    </w:p>
  </w:endnote>
  <w:endnote w:type="continuationSeparator" w:id="0">
    <w:p w14:paraId="12E3039D" w14:textId="77777777" w:rsidR="00F82188" w:rsidRDefault="00F82188" w:rsidP="008B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51A8C" w14:textId="77777777" w:rsidR="00F82188" w:rsidRDefault="00F82188" w:rsidP="008B4CA6">
      <w:r>
        <w:separator/>
      </w:r>
    </w:p>
  </w:footnote>
  <w:footnote w:type="continuationSeparator" w:id="0">
    <w:p w14:paraId="1A10E714" w14:textId="77777777" w:rsidR="00F82188" w:rsidRDefault="00F82188" w:rsidP="008B4C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E9C"/>
    <w:rsid w:val="0000531D"/>
    <w:rsid w:val="00025463"/>
    <w:rsid w:val="00026645"/>
    <w:rsid w:val="00065B3E"/>
    <w:rsid w:val="000B0A05"/>
    <w:rsid w:val="000B7A2C"/>
    <w:rsid w:val="000D2089"/>
    <w:rsid w:val="000E3E7D"/>
    <w:rsid w:val="00123EA2"/>
    <w:rsid w:val="0014119E"/>
    <w:rsid w:val="001E697B"/>
    <w:rsid w:val="0021270A"/>
    <w:rsid w:val="0027156D"/>
    <w:rsid w:val="00297397"/>
    <w:rsid w:val="00367F87"/>
    <w:rsid w:val="00382711"/>
    <w:rsid w:val="00495F12"/>
    <w:rsid w:val="004D14DF"/>
    <w:rsid w:val="00551B6B"/>
    <w:rsid w:val="00571A63"/>
    <w:rsid w:val="00587CDE"/>
    <w:rsid w:val="005C5400"/>
    <w:rsid w:val="006656BA"/>
    <w:rsid w:val="006A0ABD"/>
    <w:rsid w:val="006B2E9C"/>
    <w:rsid w:val="006B5B68"/>
    <w:rsid w:val="00767083"/>
    <w:rsid w:val="007D797E"/>
    <w:rsid w:val="008B4CA6"/>
    <w:rsid w:val="008E5358"/>
    <w:rsid w:val="0094016A"/>
    <w:rsid w:val="00965FA1"/>
    <w:rsid w:val="009B04DC"/>
    <w:rsid w:val="009D1D12"/>
    <w:rsid w:val="009E018E"/>
    <w:rsid w:val="009E0433"/>
    <w:rsid w:val="009F603A"/>
    <w:rsid w:val="00A07A7D"/>
    <w:rsid w:val="00A23BDC"/>
    <w:rsid w:val="00A37569"/>
    <w:rsid w:val="00A557FB"/>
    <w:rsid w:val="00AE282F"/>
    <w:rsid w:val="00AF48DD"/>
    <w:rsid w:val="00B35084"/>
    <w:rsid w:val="00BE2F98"/>
    <w:rsid w:val="00C344C8"/>
    <w:rsid w:val="00C35AD1"/>
    <w:rsid w:val="00C41A82"/>
    <w:rsid w:val="00C476F4"/>
    <w:rsid w:val="00C47847"/>
    <w:rsid w:val="00CB67B2"/>
    <w:rsid w:val="00CD298E"/>
    <w:rsid w:val="00D40221"/>
    <w:rsid w:val="00D45676"/>
    <w:rsid w:val="00D81A44"/>
    <w:rsid w:val="00DF777F"/>
    <w:rsid w:val="00E00319"/>
    <w:rsid w:val="00E6724C"/>
    <w:rsid w:val="00EA6704"/>
    <w:rsid w:val="00EC58C0"/>
    <w:rsid w:val="00F25FA6"/>
    <w:rsid w:val="00F379DB"/>
    <w:rsid w:val="00F468BD"/>
    <w:rsid w:val="00F637AB"/>
    <w:rsid w:val="00F82188"/>
    <w:rsid w:val="00F83420"/>
    <w:rsid w:val="00FC0436"/>
    <w:rsid w:val="00FC41B6"/>
    <w:rsid w:val="00FF5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39944CB"/>
  <w15:chartTrackingRefBased/>
  <w15:docId w15:val="{28D72B02-9B95-4997-BEDF-22136C9C8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A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0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Без интервала2"/>
    <w:rsid w:val="000E3E7D"/>
    <w:pPr>
      <w:spacing w:after="0" w:line="240" w:lineRule="auto"/>
    </w:pPr>
    <w:rPr>
      <w:rFonts w:ascii="Calibri" w:eastAsia="Times New Roman" w:hAnsi="Calibri" w:cs="Times New Roman"/>
    </w:rPr>
  </w:style>
  <w:style w:type="paragraph" w:styleId="a4">
    <w:name w:val="header"/>
    <w:basedOn w:val="a"/>
    <w:link w:val="a5"/>
    <w:uiPriority w:val="99"/>
    <w:unhideWhenUsed/>
    <w:rsid w:val="008B4CA6"/>
    <w:pPr>
      <w:tabs>
        <w:tab w:val="center" w:pos="4677"/>
        <w:tab w:val="right" w:pos="9355"/>
      </w:tabs>
    </w:pPr>
  </w:style>
  <w:style w:type="character" w:customStyle="1" w:styleId="a5">
    <w:name w:val="Верхний колонтитул Знак"/>
    <w:basedOn w:val="a0"/>
    <w:link w:val="a4"/>
    <w:uiPriority w:val="99"/>
    <w:rsid w:val="008B4CA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B4CA6"/>
    <w:pPr>
      <w:tabs>
        <w:tab w:val="center" w:pos="4677"/>
        <w:tab w:val="right" w:pos="9355"/>
      </w:tabs>
    </w:pPr>
  </w:style>
  <w:style w:type="character" w:customStyle="1" w:styleId="a7">
    <w:name w:val="Нижний колонтитул Знак"/>
    <w:basedOn w:val="a0"/>
    <w:link w:val="a6"/>
    <w:uiPriority w:val="99"/>
    <w:rsid w:val="008B4CA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2</Pages>
  <Words>490</Words>
  <Characters>2798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dc:creator>
  <cp:keywords/>
  <dc:description/>
  <cp:lastModifiedBy>Бунина В.Т.</cp:lastModifiedBy>
  <cp:revision>16</cp:revision>
  <cp:lastPrinted>2024-02-13T07:37:00Z</cp:lastPrinted>
  <dcterms:created xsi:type="dcterms:W3CDTF">2022-04-26T09:49:00Z</dcterms:created>
  <dcterms:modified xsi:type="dcterms:W3CDTF">2024-06-24T09:45:00Z</dcterms:modified>
</cp:coreProperties>
</file>